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B5D" w:rsidRPr="00F445CD" w:rsidRDefault="00013B5D" w:rsidP="00013B5D">
      <w:pPr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 xml:space="preserve"> МЕТОДИЧЕСКИЕ УКАЗАНИЯ ПО РЕШЕНИЮ ЗАДАЧ</w:t>
      </w:r>
    </w:p>
    <w:p w:rsidR="00F445CD" w:rsidRDefault="00F445CD" w:rsidP="00F445C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F445C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Инвестиционная деятельность в той или иной степени присуща любому предприятию.</w:t>
      </w:r>
    </w:p>
    <w:p w:rsidR="00013B5D" w:rsidRPr="00F445CD" w:rsidRDefault="00013B5D" w:rsidP="00F445C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Она представляет собой один из наиболее важных аспектов функционирования любой</w:t>
      </w:r>
      <w:r w:rsidR="00F445CD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коммерческой организации. Причинами, обусловливающими необходимость инвестиций,</w:t>
      </w:r>
      <w:r w:rsidR="00F445CD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являются обновление имеющейся материально-технической базы, наращивание объемов производства, освоение новых видов деятельности. </w:t>
      </w:r>
    </w:p>
    <w:p w:rsidR="00013B5D" w:rsidRPr="00F445CD" w:rsidRDefault="00013B5D" w:rsidP="00F445CD">
      <w:pPr>
        <w:tabs>
          <w:tab w:val="left" w:pos="993"/>
        </w:tabs>
        <w:ind w:firstLine="993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Критерии, используемые в анализе инвестиционной деятельности, можно подразделить</w:t>
      </w:r>
      <w:r w:rsidR="00F445CD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на две группы в зависимости от того, учитывается или нет временной параметр: а) основанные на дисконтированных оценках; б) основанные на учетных оценках.</w:t>
      </w:r>
    </w:p>
    <w:p w:rsidR="00013B5D" w:rsidRPr="00F445CD" w:rsidRDefault="00013B5D" w:rsidP="00F445CD">
      <w:pPr>
        <w:tabs>
          <w:tab w:val="left" w:pos="7920"/>
        </w:tabs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К первой группе относятся критерии:</w:t>
      </w:r>
      <w:r w:rsidR="00F445CD" w:rsidRPr="00F445CD">
        <w:rPr>
          <w:rFonts w:ascii="Times New Roman" w:hAnsi="Times New Roman" w:cs="Times New Roman"/>
          <w:sz w:val="26"/>
          <w:szCs w:val="26"/>
        </w:rPr>
        <w:tab/>
      </w:r>
    </w:p>
    <w:p w:rsidR="00013B5D" w:rsidRPr="00F445CD" w:rsidRDefault="00013B5D" w:rsidP="00013B5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- чистый приведенный эффект (стоимость) 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Net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Present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Value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, NPV);</w:t>
      </w:r>
    </w:p>
    <w:p w:rsidR="00013B5D" w:rsidRPr="00F445CD" w:rsidRDefault="00013B5D" w:rsidP="00013B5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- индекс рентабельности инвестиции 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Profitability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Index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, PI);</w:t>
      </w:r>
    </w:p>
    <w:p w:rsidR="00013B5D" w:rsidRPr="00F445CD" w:rsidRDefault="00013B5D" w:rsidP="00013B5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- внутренняя норма прибыли инвестиций 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Internal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Rate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of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Return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, IRR);</w:t>
      </w:r>
    </w:p>
    <w:p w:rsidR="00013B5D" w:rsidRPr="00F445CD" w:rsidRDefault="00013B5D" w:rsidP="00013B5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- модифицированная внутренняя норма прибыли 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Modified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Internal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Rate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of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Return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, MIRR);</w:t>
      </w:r>
    </w:p>
    <w:p w:rsidR="00013B5D" w:rsidRPr="00F445CD" w:rsidRDefault="00013B5D" w:rsidP="00013B5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- дисконтированный срок окупаемости инвестиции 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Discounted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Payback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Period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, DPP).</w:t>
      </w:r>
    </w:p>
    <w:p w:rsidR="00013B5D" w:rsidRPr="00F445CD" w:rsidRDefault="00013B5D" w:rsidP="00013B5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445CD">
        <w:rPr>
          <w:rFonts w:ascii="Times New Roman" w:hAnsi="Times New Roman" w:cs="Times New Roman"/>
          <w:sz w:val="26"/>
          <w:szCs w:val="26"/>
        </w:rPr>
        <w:t>Ко второй группе относятся критерии: срок окупаемости инвестиции 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Payback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Period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,</w:t>
      </w:r>
      <w:proofErr w:type="gramEnd"/>
    </w:p>
    <w:p w:rsidR="00013B5D" w:rsidRPr="00F445CD" w:rsidRDefault="00013B5D" w:rsidP="00013B5D">
      <w:pPr>
        <w:jc w:val="both"/>
        <w:rPr>
          <w:rFonts w:ascii="Times New Roman" w:hAnsi="Times New Roman" w:cs="Times New Roman"/>
          <w:sz w:val="26"/>
          <w:szCs w:val="26"/>
          <w:lang w:val="en-US"/>
        </w:rPr>
      </w:pPr>
      <w:proofErr w:type="gramStart"/>
      <w:r w:rsidRPr="00F445CD">
        <w:rPr>
          <w:rFonts w:ascii="Times New Roman" w:hAnsi="Times New Roman" w:cs="Times New Roman"/>
          <w:sz w:val="26"/>
          <w:szCs w:val="26"/>
        </w:rPr>
        <w:t>РР</w:t>
      </w:r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); </w:t>
      </w:r>
      <w:r w:rsidRPr="00F445CD">
        <w:rPr>
          <w:rFonts w:ascii="Times New Roman" w:hAnsi="Times New Roman" w:cs="Times New Roman"/>
          <w:sz w:val="26"/>
          <w:szCs w:val="26"/>
        </w:rPr>
        <w:t>коэффициент</w:t>
      </w:r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эффективности</w:t>
      </w:r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инвестиции</w:t>
      </w:r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 (Accounting Rate of Return, ARR).</w:t>
      </w:r>
      <w:proofErr w:type="gramEnd"/>
    </w:p>
    <w:p w:rsidR="00013B5D" w:rsidRPr="00F445CD" w:rsidRDefault="00013B5D" w:rsidP="00013B5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Рассмотрим ключевые идеи, лежащие в основе методов оценки инвестиционных проектов, использующих данные критерии.</w:t>
      </w:r>
    </w:p>
    <w:p w:rsidR="00F445CD" w:rsidRDefault="00F445CD" w:rsidP="00013B5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013B5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1 Чистая приведенная стоимость (NPV)</w:t>
      </w:r>
    </w:p>
    <w:p w:rsidR="00013B5D" w:rsidRPr="00F445CD" w:rsidRDefault="00013B5D" w:rsidP="00013B5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 xml:space="preserve">Этот метод основан на сопоставлении величины исходных инвестиций (IC) с общей суммой дисконтированных чистых денежных поступлений, генерируемых ею в течение прогнозируемого срока. Поскольку приток денежных средств распределен во времени, он дисконтируется с помощью коэффициента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, устанавливаемого аналитиком (инвестором) самостоятельно исходя из ежегодного процента возврата, который он хочет или может иметь на инвестируемый им капитал. Допустим, делается прогноз, что инвестиция (IC) будет генерировать 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 xml:space="preserve"> течение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n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лет, годовые доходы в размере P 1 , P 2 , ..., 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>Р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n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. Общая накопленная величина дисконтированных доходов (PV) и чистый приведенный эффект (NPV) соответственно рассчитываются по формулам:</w:t>
      </w:r>
    </w:p>
    <w:p w:rsidR="00F445CD" w:rsidRDefault="00F445CD" w:rsidP="00013B5D">
      <w:pPr>
        <w:jc w:val="right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013B5D">
      <w:pPr>
        <w:jc w:val="right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 xml:space="preserve">PV = ∑P </w:t>
      </w:r>
      <w:proofErr w:type="spellStart"/>
      <w:r w:rsidRPr="00F445CD">
        <w:rPr>
          <w:rFonts w:ascii="Times New Roman" w:hAnsi="Times New Roman" w:cs="Times New Roman"/>
          <w:sz w:val="26"/>
          <w:szCs w:val="26"/>
          <w:vertAlign w:val="subscript"/>
        </w:rPr>
        <w:t>k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/ (1+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Pr="00F445CD">
        <w:rPr>
          <w:rFonts w:ascii="Times New Roman" w:hAnsi="Times New Roman" w:cs="Times New Roman"/>
          <w:sz w:val="26"/>
          <w:szCs w:val="26"/>
          <w:vertAlign w:val="superscript"/>
        </w:rPr>
        <w:t>k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(1)</w:t>
      </w:r>
    </w:p>
    <w:p w:rsidR="00F445CD" w:rsidRDefault="00F445CD" w:rsidP="00C53B7F">
      <w:pPr>
        <w:jc w:val="right"/>
        <w:rPr>
          <w:rFonts w:ascii="Times New Roman" w:hAnsi="Times New Roman" w:cs="Times New Roman"/>
          <w:sz w:val="26"/>
          <w:szCs w:val="26"/>
        </w:rPr>
      </w:pPr>
    </w:p>
    <w:p w:rsidR="00C53B7F" w:rsidRPr="00F445CD" w:rsidRDefault="00C53B7F" w:rsidP="00C53B7F">
      <w:pPr>
        <w:jc w:val="right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 xml:space="preserve">NPV = ∑P </w:t>
      </w:r>
      <w:proofErr w:type="spellStart"/>
      <w:r w:rsidRPr="00F445CD">
        <w:rPr>
          <w:rFonts w:ascii="Times New Roman" w:hAnsi="Times New Roman" w:cs="Times New Roman"/>
          <w:sz w:val="26"/>
          <w:szCs w:val="26"/>
          <w:vertAlign w:val="subscript"/>
        </w:rPr>
        <w:t>k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/ (1+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Pr="00F445CD">
        <w:rPr>
          <w:rFonts w:ascii="Times New Roman" w:hAnsi="Times New Roman" w:cs="Times New Roman"/>
          <w:sz w:val="26"/>
          <w:szCs w:val="26"/>
          <w:vertAlign w:val="superscript"/>
        </w:rPr>
        <w:t>k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- </w:t>
      </w:r>
      <w:r w:rsidRPr="00F445CD">
        <w:rPr>
          <w:rFonts w:ascii="Times New Roman" w:hAnsi="Times New Roman" w:cs="Times New Roman"/>
          <w:sz w:val="26"/>
          <w:szCs w:val="26"/>
          <w:lang w:val="en-US"/>
        </w:rPr>
        <w:t>IC</w:t>
      </w:r>
      <w:r w:rsidRPr="00F445CD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(2)                                                      </w:t>
      </w:r>
    </w:p>
    <w:p w:rsidR="00F445CD" w:rsidRDefault="00F445CD" w:rsidP="00C53B7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C53B7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Очевидно, что если:</w:t>
      </w:r>
      <w:r w:rsidR="00C53B7F" w:rsidRPr="00F445C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13B5D" w:rsidRPr="00F445CD" w:rsidRDefault="00013B5D" w:rsidP="00C53B7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NPV &gt; 0, то проект следует принять;</w:t>
      </w:r>
    </w:p>
    <w:p w:rsidR="00013B5D" w:rsidRPr="00F445CD" w:rsidRDefault="00013B5D" w:rsidP="00C53B7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NPV &lt; 0, то проект следует отвергнуть;</w:t>
      </w:r>
    </w:p>
    <w:p w:rsidR="00013B5D" w:rsidRPr="00F445CD" w:rsidRDefault="00013B5D" w:rsidP="00C53B7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NPV = 0, то проект ни прибыльный, ни убыточный.</w:t>
      </w:r>
    </w:p>
    <w:p w:rsidR="00C53B7F" w:rsidRPr="00F445CD" w:rsidRDefault="00013B5D" w:rsidP="00C53B7F">
      <w:pPr>
        <w:ind w:firstLine="851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F445CD">
        <w:rPr>
          <w:rFonts w:ascii="Times New Roman" w:hAnsi="Times New Roman" w:cs="Times New Roman"/>
          <w:sz w:val="26"/>
          <w:szCs w:val="26"/>
        </w:rPr>
        <w:lastRenderedPageBreak/>
        <w:t>При прогнозировании доходов по годам необходимо по возможности учитывать все</w:t>
      </w:r>
      <w:r w:rsidR="00C53B7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виды поступлений как производственного, так и непроизводственного характера, которые</w:t>
      </w:r>
      <w:r w:rsidR="00C53B7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могут быть ассоциированы с данным проектом.</w:t>
      </w:r>
      <w:r w:rsidR="00C53B7F" w:rsidRPr="00F445C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53B7F" w:rsidRPr="00F445CD" w:rsidRDefault="00013B5D" w:rsidP="00C53B7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Так, если по окончании периода реализации проекта планируется поступление сре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>дств в</w:t>
      </w:r>
      <w:r w:rsidR="00C53B7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>иде ликвидационной стоимости оборудования или высвобождения части оборотных средств,</w:t>
      </w:r>
      <w:r w:rsidR="00C53B7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они должны быть учтены как доходы соответствующих периодов.</w:t>
      </w:r>
      <w:r w:rsidR="00C53B7F" w:rsidRPr="00F445C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13B5D" w:rsidRPr="00F445CD" w:rsidRDefault="00013B5D" w:rsidP="00C53B7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Если проект предполагает не разовые инвестиции, а последовательное инвестирование</w:t>
      </w:r>
      <w:r w:rsidR="00C53B7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финансовых ресурсов в течение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m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лет, то формула для расчета NPV модифицируется</w:t>
      </w:r>
      <w:r w:rsidR="00C53B7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следующим образом:</w:t>
      </w:r>
    </w:p>
    <w:p w:rsidR="00F445CD" w:rsidRDefault="00F445CD" w:rsidP="00C53B7F">
      <w:pPr>
        <w:jc w:val="right"/>
        <w:rPr>
          <w:rFonts w:ascii="Times New Roman" w:hAnsi="Times New Roman" w:cs="Times New Roman"/>
          <w:sz w:val="26"/>
          <w:szCs w:val="26"/>
        </w:rPr>
      </w:pPr>
    </w:p>
    <w:p w:rsidR="00C53B7F" w:rsidRPr="00F445CD" w:rsidRDefault="00C53B7F" w:rsidP="00C53B7F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NPV = ∑P </w:t>
      </w:r>
      <w:r w:rsidRPr="00F445CD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k</w:t>
      </w:r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/ (1+ r) </w:t>
      </w:r>
      <w:r w:rsidRPr="00F445CD">
        <w:rPr>
          <w:rFonts w:ascii="Times New Roman" w:hAnsi="Times New Roman" w:cs="Times New Roman"/>
          <w:sz w:val="26"/>
          <w:szCs w:val="26"/>
          <w:vertAlign w:val="superscript"/>
          <w:lang w:val="en-US"/>
        </w:rPr>
        <w:t>k</w:t>
      </w:r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 - ∑IC j / (1+ </w:t>
      </w:r>
      <w:proofErr w:type="spellStart"/>
      <w:r w:rsidRPr="00F445CD">
        <w:rPr>
          <w:rFonts w:ascii="Times New Roman" w:hAnsi="Times New Roman" w:cs="Times New Roman"/>
          <w:sz w:val="26"/>
          <w:szCs w:val="26"/>
          <w:lang w:val="en-US"/>
        </w:rPr>
        <w:t>i</w:t>
      </w:r>
      <w:proofErr w:type="spellEnd"/>
      <w:proofErr w:type="gramStart"/>
      <w:r w:rsidRPr="00F445CD">
        <w:rPr>
          <w:rFonts w:ascii="Times New Roman" w:hAnsi="Times New Roman" w:cs="Times New Roman"/>
          <w:sz w:val="26"/>
          <w:szCs w:val="26"/>
          <w:lang w:val="en-US"/>
        </w:rPr>
        <w:t>)</w:t>
      </w:r>
      <w:r w:rsidR="005E2E2F" w:rsidRPr="00F445CD">
        <w:rPr>
          <w:rFonts w:ascii="Times New Roman" w:hAnsi="Times New Roman" w:cs="Times New Roman"/>
          <w:sz w:val="26"/>
          <w:szCs w:val="26"/>
          <w:vertAlign w:val="superscript"/>
          <w:lang w:val="en-US"/>
        </w:rPr>
        <w:t>j</w:t>
      </w:r>
      <w:proofErr w:type="gramEnd"/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                                                      (</w:t>
      </w:r>
      <w:r w:rsidR="0059114C" w:rsidRPr="00F445CD">
        <w:rPr>
          <w:rFonts w:ascii="Times New Roman" w:hAnsi="Times New Roman" w:cs="Times New Roman"/>
          <w:sz w:val="26"/>
          <w:szCs w:val="26"/>
          <w:lang w:val="en-US"/>
        </w:rPr>
        <w:t>3</w:t>
      </w:r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)                                                      </w:t>
      </w:r>
    </w:p>
    <w:p w:rsidR="00F445CD" w:rsidRDefault="00F445CD" w:rsidP="005E2E2F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5E2E2F">
      <w:pPr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 xml:space="preserve">где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i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— прогнозируемый средний уровень инфляции.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Расчет с помощью приведенных формул вручную достаточно трудоемок, поэтому для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удобства применения этого и других методов, основанных на дисконтированных оценках,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разработаны специальные статистические таблицы, в которых табулированы значения сложных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процентов, дисконтирующих множителей, дисконтированного значения денежной единицы и т.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п. в зависимости от временного интервала и значения коэффициента дисконтирования.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Необходимо отметить, что показатель NPV отражает прогнозную оценку изменения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экономического потенциала предприятия в случае принятия рассматриваемого проекта.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Этот показатель аддитивен во временном аспекте, т. е. NPV различных проектов можно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суммировать. Это очень важное свойство, выделяющее этот критерий из всех остальных и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позволяющее  использовать  его  в  качестве  основного  при  анализе  оптимальности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инвестиционного портфеля.</w:t>
      </w:r>
    </w:p>
    <w:p w:rsidR="00F445CD" w:rsidRDefault="005E2E2F" w:rsidP="005E2E2F">
      <w:pPr>
        <w:tabs>
          <w:tab w:val="center" w:pos="4677"/>
          <w:tab w:val="left" w:pos="7185"/>
        </w:tabs>
        <w:jc w:val="left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ab/>
      </w:r>
    </w:p>
    <w:p w:rsidR="00013B5D" w:rsidRPr="00F445CD" w:rsidRDefault="00013B5D" w:rsidP="00F445CD">
      <w:pPr>
        <w:tabs>
          <w:tab w:val="center" w:pos="4677"/>
          <w:tab w:val="left" w:pos="7185"/>
        </w:tabs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2 Индекс рентабельности инвестиции (PI)</w:t>
      </w:r>
    </w:p>
    <w:p w:rsidR="00F445CD" w:rsidRDefault="00F445CD" w:rsidP="005E2E2F">
      <w:pPr>
        <w:tabs>
          <w:tab w:val="left" w:pos="851"/>
        </w:tabs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5E2E2F">
      <w:pPr>
        <w:tabs>
          <w:tab w:val="left" w:pos="851"/>
        </w:tabs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 xml:space="preserve">Этот метод 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>является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 xml:space="preserve"> по сути следствием предыдущего. Индекс рентабельности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рассчитывается по формуле</w:t>
      </w:r>
      <w:r w:rsidR="005E2E2F" w:rsidRPr="00F445CD">
        <w:rPr>
          <w:rFonts w:ascii="Times New Roman" w:hAnsi="Times New Roman" w:cs="Times New Roman"/>
          <w:sz w:val="26"/>
          <w:szCs w:val="26"/>
        </w:rPr>
        <w:t>:</w:t>
      </w:r>
    </w:p>
    <w:p w:rsidR="00F445CD" w:rsidRDefault="00F445CD" w:rsidP="005E2E2F">
      <w:pPr>
        <w:jc w:val="right"/>
        <w:rPr>
          <w:rFonts w:ascii="Times New Roman" w:hAnsi="Times New Roman" w:cs="Times New Roman"/>
          <w:sz w:val="26"/>
          <w:szCs w:val="26"/>
        </w:rPr>
      </w:pPr>
    </w:p>
    <w:p w:rsidR="005E2E2F" w:rsidRPr="00F445CD" w:rsidRDefault="005E2E2F" w:rsidP="005E2E2F">
      <w:pPr>
        <w:jc w:val="right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 xml:space="preserve">PI= ∑P </w:t>
      </w:r>
      <w:proofErr w:type="spellStart"/>
      <w:r w:rsidRPr="00F445CD">
        <w:rPr>
          <w:rFonts w:ascii="Times New Roman" w:hAnsi="Times New Roman" w:cs="Times New Roman"/>
          <w:sz w:val="26"/>
          <w:szCs w:val="26"/>
          <w:vertAlign w:val="subscript"/>
        </w:rPr>
        <w:t>k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/ (1+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Pr="00F445CD">
        <w:rPr>
          <w:rFonts w:ascii="Times New Roman" w:hAnsi="Times New Roman" w:cs="Times New Roman"/>
          <w:sz w:val="26"/>
          <w:szCs w:val="26"/>
          <w:vertAlign w:val="superscript"/>
        </w:rPr>
        <w:t>k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/ </w:t>
      </w:r>
      <w:r w:rsidRPr="00F445CD">
        <w:rPr>
          <w:rFonts w:ascii="Times New Roman" w:hAnsi="Times New Roman" w:cs="Times New Roman"/>
          <w:sz w:val="26"/>
          <w:szCs w:val="26"/>
          <w:lang w:val="en-US"/>
        </w:rPr>
        <w:t>IC</w:t>
      </w:r>
      <w:r w:rsidRPr="00F445CD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(</w:t>
      </w:r>
      <w:r w:rsidR="0059114C" w:rsidRPr="00F445CD">
        <w:rPr>
          <w:rFonts w:ascii="Times New Roman" w:hAnsi="Times New Roman" w:cs="Times New Roman"/>
          <w:sz w:val="26"/>
          <w:szCs w:val="26"/>
        </w:rPr>
        <w:t>4</w:t>
      </w:r>
      <w:r w:rsidRPr="00F445CD">
        <w:rPr>
          <w:rFonts w:ascii="Times New Roman" w:hAnsi="Times New Roman" w:cs="Times New Roman"/>
          <w:sz w:val="26"/>
          <w:szCs w:val="26"/>
        </w:rPr>
        <w:t xml:space="preserve">)                                                      </w:t>
      </w:r>
    </w:p>
    <w:p w:rsidR="00F445CD" w:rsidRDefault="00F445C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Очевидно, что если: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PI &gt; 1, то проект следует принять,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PI &lt; 1, то проект следует отвергнуть,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PI = 1, то проект не является ни прибыльным, ни убыточным.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В отличие от чистого приведенного дохода индекс рентабельности является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относительным показателем: он характеризует уровень доходов на единицу затрат, т.е.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эффективность вложений - чем больше значение этого показателя, тем выше отдача каждого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тенге, инвестированного в данный проект. 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>Благодаря этому критерий PI очень удобен при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выборе одного проекта из ряда альтернативных, имеющих примерно одинаковые значения NPV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(в частности, если два проекта имеют одинаковые значения NPV, но разные объемы требуемых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инвестиций, то очевидно, что выгоднее тот из них, который обеспечивает большую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эффективность </w:t>
      </w:r>
      <w:r w:rsidRPr="00F445CD">
        <w:rPr>
          <w:rFonts w:ascii="Times New Roman" w:hAnsi="Times New Roman" w:cs="Times New Roman"/>
          <w:sz w:val="26"/>
          <w:szCs w:val="26"/>
        </w:rPr>
        <w:lastRenderedPageBreak/>
        <w:t>вложений), либо при комплектовании портфеля инвестиций с целью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максимизации суммарного значения NPV.</w:t>
      </w:r>
      <w:proofErr w:type="gramEnd"/>
    </w:p>
    <w:p w:rsidR="00F445CD" w:rsidRDefault="00F445CD" w:rsidP="00013B5D">
      <w:pPr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013B5D">
      <w:pPr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3 Внутренняя норма прибыли инвестиций (IRR)</w:t>
      </w:r>
    </w:p>
    <w:p w:rsidR="00F445CD" w:rsidRDefault="00F445C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Вторым стандартным методом оценки эффективности инвестиционных проектов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является метод определения внутренней нормы рентабельности проекта 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internal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rate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of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return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,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IRR), т.е. такой ставки дисконта, при которой значение чистого приведенного дохода равно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нулю.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IRR =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, при котором NPV =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f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) = 0.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Смысл расчета этого коэффициента при анализе эффективности планируемых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инвестиций  заключается  в  следующем:  IRR  показывает  максимально  допустимый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относительный уровень расходов, которые могут быть ассоциированы с данным проектом.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Например, если проект полностью финансируется за счет ссуды коммерческого банка, то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значение IRR показывает верхнюю границу допустимого уровня банковской процентной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ставки, превышение которого делает проект убыточным.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Экономический смысл этого показателя заключается в следующем: предприятие может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принимать любые решения инвестиционного характера, уровень рентабельности которых не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ниже текущего значения показателя "цены" авансированного капитала CC (или цены источника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сре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>дств дл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>я данного проекта, если он имеет целевой источник). Именно с ним сравнивается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показатель IRR, рассчитанный для конкретного проекта, при этом связь между ними такова.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Если: IRR &gt; CC. то проект следует принять;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IRR &lt; CC, то проект следует отвергнуть;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IRR = CC, то проект ни прибыльный, ни убыточный.</w:t>
      </w:r>
    </w:p>
    <w:p w:rsidR="00013B5D" w:rsidRPr="00F445CD" w:rsidRDefault="00013B5D" w:rsidP="005E2E2F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Практическое применение данного метода осложнено, если в распоряжении аналитика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нет специализированного финансового калькулятора. В этом случае применяется метод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последовательных 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>итераций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 xml:space="preserve"> с использованием табулированных значений дисконтирующих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множителей. Для этого с помощью таблиц выбираются два значения коэффициента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дисконтирования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1 &lt;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2 таким образом, чтобы в интервале 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1 ,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2 ) функция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NPV=f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) меняла свое</w:t>
      </w:r>
      <w:r w:rsidR="005E2E2F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значение с "+" на 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>"-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>" или с "-" на "+". Далее применяют формулу:</w:t>
      </w:r>
    </w:p>
    <w:p w:rsidR="00F445CD" w:rsidRDefault="00F445CD" w:rsidP="0059114C">
      <w:pPr>
        <w:jc w:val="right"/>
        <w:rPr>
          <w:rFonts w:ascii="Times New Roman" w:hAnsi="Times New Roman" w:cs="Times New Roman"/>
          <w:sz w:val="26"/>
          <w:szCs w:val="26"/>
        </w:rPr>
      </w:pPr>
    </w:p>
    <w:p w:rsidR="005E2E2F" w:rsidRPr="00F445CD" w:rsidRDefault="0059114C" w:rsidP="0059114C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IRR= r 1+ ((f(r </w:t>
      </w:r>
      <w:proofErr w:type="gramStart"/>
      <w:r w:rsidRPr="00F445CD">
        <w:rPr>
          <w:rFonts w:ascii="Times New Roman" w:hAnsi="Times New Roman" w:cs="Times New Roman"/>
          <w:sz w:val="26"/>
          <w:szCs w:val="26"/>
          <w:lang w:val="en-US"/>
        </w:rPr>
        <w:t>1 )</w:t>
      </w:r>
      <w:proofErr w:type="gramEnd"/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/(f(r 1 )- f(r 2 ))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х</w:t>
      </w:r>
      <w:proofErr w:type="spellEnd"/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 (r 2- r 1)                           (5)</w:t>
      </w:r>
    </w:p>
    <w:p w:rsidR="005E2E2F" w:rsidRPr="00F445CD" w:rsidRDefault="005E2E2F" w:rsidP="00013B5D">
      <w:pPr>
        <w:rPr>
          <w:rFonts w:ascii="Times New Roman" w:hAnsi="Times New Roman" w:cs="Times New Roman"/>
          <w:sz w:val="26"/>
          <w:szCs w:val="26"/>
          <w:lang w:val="en-US"/>
        </w:rPr>
      </w:pPr>
    </w:p>
    <w:p w:rsidR="00013B5D" w:rsidRPr="00F445CD" w:rsidRDefault="00013B5D" w:rsidP="0059114C">
      <w:pPr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 xml:space="preserve">где 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1 -  значение табулированного коэффициента дисконтирования, при котором</w:t>
      </w:r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f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1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 xml:space="preserve"> )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>&gt;0 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f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1 )&lt;0);</w:t>
      </w:r>
    </w:p>
    <w:p w:rsidR="00013B5D" w:rsidRPr="00F445CD" w:rsidRDefault="00013B5D" w:rsidP="0059114C">
      <w:p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2 -  значение табулированного коэффициента дисконтирования, при котором</w:t>
      </w:r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f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2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 xml:space="preserve"> )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>&lt;О 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f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2 )&gt;0).</w:t>
      </w:r>
    </w:p>
    <w:p w:rsidR="00013B5D" w:rsidRPr="00F445CD" w:rsidRDefault="00013B5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Точность вычислений обратно пропорциональна длине интервала (r</w:t>
      </w:r>
      <w:r w:rsidR="0059114C" w:rsidRPr="00F445CD">
        <w:rPr>
          <w:rFonts w:ascii="Times New Roman" w:hAnsi="Times New Roman" w:cs="Times New Roman"/>
          <w:sz w:val="26"/>
          <w:szCs w:val="26"/>
        </w:rPr>
        <w:t>1</w:t>
      </w:r>
      <w:r w:rsidRPr="00F445CD">
        <w:rPr>
          <w:rFonts w:ascii="Times New Roman" w:hAnsi="Times New Roman" w:cs="Times New Roman"/>
          <w:sz w:val="26"/>
          <w:szCs w:val="26"/>
        </w:rPr>
        <w:t>,r2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 xml:space="preserve"> )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>, а наилучшая</w:t>
      </w:r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аппроксимация с использованием табулированных значений достигается в случае, когда длина</w:t>
      </w:r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интервала минимальна (равна 1%), т.е. r1 и r2 - ближайшие друг к другу значения коэффициента</w:t>
      </w:r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дисконтирования, удовлетворяющие условиям (в случае изменения знака функции с "+" на "-"):</w:t>
      </w:r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r1 — значение табулированного коэффициента дисконтирования,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минимизирующее</w:t>
      </w:r>
      <w:proofErr w:type="spellEnd"/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положительное значение показателя NPV, т.е.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f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1 )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=min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{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f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)&gt;0};</w:t>
      </w:r>
    </w:p>
    <w:p w:rsidR="00013B5D" w:rsidRPr="00F445CD" w:rsidRDefault="00013B5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lastRenderedPageBreak/>
        <w:t xml:space="preserve">r2 — значение табулированного коэффициента дисконтирования,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максимизирующее</w:t>
      </w:r>
      <w:proofErr w:type="spellEnd"/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отрицательное значение показателя NPV, т.е.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f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(r2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 xml:space="preserve"> )</w:t>
      </w:r>
      <w:proofErr w:type="spellStart"/>
      <w:proofErr w:type="gramEnd"/>
      <w:r w:rsidRPr="00F445CD">
        <w:rPr>
          <w:rFonts w:ascii="Times New Roman" w:hAnsi="Times New Roman" w:cs="Times New Roman"/>
          <w:sz w:val="26"/>
          <w:szCs w:val="26"/>
        </w:rPr>
        <w:t>=max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{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f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(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r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)&lt;0}.</w:t>
      </w:r>
    </w:p>
    <w:p w:rsidR="00013B5D" w:rsidRPr="00F445CD" w:rsidRDefault="00013B5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Путем взаимной замены коэффициентов r1 и r2 аналогичные условия выписываются для</w:t>
      </w:r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ситуации, когда функция меняет знак с 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>"-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>" на "+".</w:t>
      </w:r>
    </w:p>
    <w:p w:rsidR="00F445CD" w:rsidRDefault="00F445CD" w:rsidP="0059114C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59114C">
      <w:pPr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4  Модифицированная  внутренняя  норма  прибыли  (доходности)  (IRR*).</w:t>
      </w:r>
    </w:p>
    <w:p w:rsidR="00F445CD" w:rsidRDefault="00F445C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Модифицированная внутренняя норма прибыли – это дисконтная ставка, при которой</w:t>
      </w:r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дисконтированная стоимость проектных издержек равна дисконтированной стоимости их</w:t>
      </w:r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конечной стоимости, где конечная стоимость находится как будущая стоимость денежных</w:t>
      </w:r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поступлений, соединенная со стоимостью капитала фирмы.</w:t>
      </w:r>
    </w:p>
    <w:p w:rsidR="00013B5D" w:rsidRPr="00F445CD" w:rsidRDefault="00013B5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Модифицированная внутренняя норма прибыли определяется по формуле:</w:t>
      </w:r>
    </w:p>
    <w:p w:rsidR="00F445CD" w:rsidRDefault="00F445CD" w:rsidP="0059114C">
      <w:pPr>
        <w:jc w:val="right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59114C">
      <w:pPr>
        <w:jc w:val="right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  <w:lang w:val="en-US"/>
        </w:rPr>
        <w:t>IC</w:t>
      </w:r>
      <w:r w:rsidRPr="00F445CD">
        <w:rPr>
          <w:rFonts w:ascii="Times New Roman" w:hAnsi="Times New Roman" w:cs="Times New Roman"/>
          <w:sz w:val="26"/>
          <w:szCs w:val="26"/>
        </w:rPr>
        <w:t xml:space="preserve"> = КС / (1+</w:t>
      </w:r>
      <w:r w:rsidRPr="00F445CD">
        <w:rPr>
          <w:rFonts w:ascii="Times New Roman" w:hAnsi="Times New Roman" w:cs="Times New Roman"/>
          <w:sz w:val="26"/>
          <w:szCs w:val="26"/>
          <w:lang w:val="en-US"/>
        </w:rPr>
        <w:t>IRR</w:t>
      </w:r>
      <w:r w:rsidRPr="00F445CD">
        <w:rPr>
          <w:rFonts w:ascii="Times New Roman" w:hAnsi="Times New Roman" w:cs="Times New Roman"/>
          <w:sz w:val="26"/>
          <w:szCs w:val="26"/>
        </w:rPr>
        <w:t xml:space="preserve">*) </w:t>
      </w:r>
      <w:r w:rsidRPr="00F445CD">
        <w:rPr>
          <w:rFonts w:ascii="Times New Roman" w:hAnsi="Times New Roman" w:cs="Times New Roman"/>
          <w:sz w:val="26"/>
          <w:szCs w:val="26"/>
          <w:vertAlign w:val="superscript"/>
          <w:lang w:val="en-US"/>
        </w:rPr>
        <w:t>k</w:t>
      </w:r>
      <w:r w:rsidR="0059114C" w:rsidRPr="00F445CD">
        <w:rPr>
          <w:rFonts w:ascii="Times New Roman" w:hAnsi="Times New Roman" w:cs="Times New Roman"/>
          <w:sz w:val="26"/>
          <w:szCs w:val="26"/>
          <w:vertAlign w:val="superscript"/>
        </w:rPr>
        <w:t xml:space="preserve">                                                                         </w:t>
      </w:r>
      <w:r w:rsidRPr="00F445CD">
        <w:rPr>
          <w:rFonts w:ascii="Times New Roman" w:hAnsi="Times New Roman" w:cs="Times New Roman"/>
          <w:sz w:val="26"/>
          <w:szCs w:val="26"/>
        </w:rPr>
        <w:t xml:space="preserve"> (6)</w:t>
      </w:r>
    </w:p>
    <w:p w:rsidR="0059114C" w:rsidRPr="00F445CD" w:rsidRDefault="0059114C" w:rsidP="00013B5D">
      <w:pPr>
        <w:rPr>
          <w:rFonts w:ascii="Times New Roman" w:hAnsi="Times New Roman" w:cs="Times New Roman"/>
          <w:sz w:val="26"/>
          <w:szCs w:val="26"/>
        </w:rPr>
      </w:pPr>
    </w:p>
    <w:p w:rsidR="0059114C" w:rsidRPr="00F445CD" w:rsidRDefault="0059114C" w:rsidP="0059114C">
      <w:pPr>
        <w:jc w:val="right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  <w:lang w:val="en-US"/>
        </w:rPr>
        <w:t>IRR</w:t>
      </w:r>
      <w:r w:rsidRPr="00F445CD">
        <w:rPr>
          <w:rFonts w:ascii="Times New Roman" w:hAnsi="Times New Roman" w:cs="Times New Roman"/>
          <w:sz w:val="26"/>
          <w:szCs w:val="26"/>
        </w:rPr>
        <w:t xml:space="preserve">*=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√КС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/ IC                                                           (7)</w:t>
      </w:r>
    </w:p>
    <w:p w:rsidR="0059114C" w:rsidRPr="00F445CD" w:rsidRDefault="0059114C" w:rsidP="00013B5D">
      <w:pPr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59114C">
      <w:pPr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где IC - размер инвестиций;</w:t>
      </w:r>
    </w:p>
    <w:p w:rsidR="00013B5D" w:rsidRPr="00F445CD" w:rsidRDefault="00013B5D" w:rsidP="0059114C">
      <w:pPr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КС – конечная стоимость;</w:t>
      </w:r>
    </w:p>
    <w:p w:rsidR="00013B5D" w:rsidRPr="00F445CD" w:rsidRDefault="00013B5D" w:rsidP="0059114C">
      <w:pPr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IRR* - модифицированная внутренняя норма прибыли</w:t>
      </w:r>
    </w:p>
    <w:p w:rsidR="002D7511" w:rsidRPr="00F445CD" w:rsidRDefault="002D7511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5 Метод определения срока окупаемости инвестиций (РР)</w:t>
      </w:r>
    </w:p>
    <w:p w:rsidR="00013B5D" w:rsidRPr="00F445CD" w:rsidRDefault="00013B5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 xml:space="preserve">Этот метод – один из самых простых и широко распространен в мировой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учетн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>о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-</w:t>
      </w:r>
      <w:proofErr w:type="gramEnd"/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аналитической практике.</w:t>
      </w:r>
    </w:p>
    <w:p w:rsidR="00013B5D" w:rsidRPr="00F445CD" w:rsidRDefault="00013B5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Срок окупаемости - это продолжительность времени, в течение которого</w:t>
      </w:r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прогнозируемые поступления денежных сре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>дств пр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>евысят сумму инвестиций.</w:t>
      </w:r>
    </w:p>
    <w:p w:rsidR="00013B5D" w:rsidRPr="00F445CD" w:rsidRDefault="00013B5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Для определения срока окупаемости используют два метода:</w:t>
      </w:r>
    </w:p>
    <w:p w:rsidR="00013B5D" w:rsidRPr="00F445CD" w:rsidRDefault="00013B5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1) Без учёта фактора времени – когда равные суммы дохода, получаемые в разное</w:t>
      </w:r>
      <w:r w:rsidR="0059114C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время, рассматриваются как 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>равноценные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 xml:space="preserve"> т.е. не дисконтируются</w:t>
      </w:r>
      <w:r w:rsidR="0059114C" w:rsidRPr="00F445CD">
        <w:rPr>
          <w:rFonts w:ascii="Times New Roman" w:hAnsi="Times New Roman" w:cs="Times New Roman"/>
          <w:sz w:val="26"/>
          <w:szCs w:val="26"/>
        </w:rPr>
        <w:t>.</w:t>
      </w:r>
    </w:p>
    <w:p w:rsidR="00F445CD" w:rsidRDefault="00F445CD" w:rsidP="0059114C">
      <w:pPr>
        <w:ind w:firstLine="851"/>
        <w:jc w:val="right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59114C">
      <w:pPr>
        <w:ind w:firstLine="851"/>
        <w:jc w:val="right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 xml:space="preserve">PР </w:t>
      </w:r>
      <w:proofErr w:type="spellStart"/>
      <w:proofErr w:type="gramStart"/>
      <w:r w:rsidRPr="00F445CD">
        <w:rPr>
          <w:rFonts w:ascii="Times New Roman" w:hAnsi="Times New Roman" w:cs="Times New Roman"/>
          <w:sz w:val="26"/>
          <w:szCs w:val="26"/>
        </w:rPr>
        <w:t>упр</w:t>
      </w:r>
      <w:proofErr w:type="spellEnd"/>
      <w:proofErr w:type="gramEnd"/>
      <w:r w:rsidRPr="00F445CD">
        <w:rPr>
          <w:rFonts w:ascii="Times New Roman" w:hAnsi="Times New Roman" w:cs="Times New Roman"/>
          <w:sz w:val="26"/>
          <w:szCs w:val="26"/>
        </w:rPr>
        <w:t xml:space="preserve"> = IC /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Pk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="0059114C" w:rsidRPr="00F445CD">
        <w:rPr>
          <w:rFonts w:ascii="Times New Roman" w:hAnsi="Times New Roman" w:cs="Times New Roman"/>
          <w:sz w:val="26"/>
          <w:szCs w:val="26"/>
        </w:rPr>
        <w:t xml:space="preserve">                                                 </w:t>
      </w:r>
      <w:r w:rsidRPr="00F445CD">
        <w:rPr>
          <w:rFonts w:ascii="Times New Roman" w:hAnsi="Times New Roman" w:cs="Times New Roman"/>
          <w:sz w:val="26"/>
          <w:szCs w:val="26"/>
        </w:rPr>
        <w:t>(8)</w:t>
      </w:r>
    </w:p>
    <w:p w:rsidR="00F445CD" w:rsidRDefault="00F445C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 xml:space="preserve">где PP </w:t>
      </w:r>
      <w:proofErr w:type="spellStart"/>
      <w:proofErr w:type="gramStart"/>
      <w:r w:rsidRPr="00F445CD">
        <w:rPr>
          <w:rFonts w:ascii="Times New Roman" w:hAnsi="Times New Roman" w:cs="Times New Roman"/>
          <w:sz w:val="26"/>
          <w:szCs w:val="26"/>
        </w:rPr>
        <w:t>упр</w:t>
      </w:r>
      <w:proofErr w:type="spellEnd"/>
      <w:proofErr w:type="gramEnd"/>
      <w:r w:rsidRPr="00F445CD">
        <w:rPr>
          <w:rFonts w:ascii="Times New Roman" w:hAnsi="Times New Roman" w:cs="Times New Roman"/>
          <w:sz w:val="26"/>
          <w:szCs w:val="26"/>
        </w:rPr>
        <w:t xml:space="preserve"> - упрощенный метод определения срока окупаемости;</w:t>
      </w:r>
    </w:p>
    <w:p w:rsidR="00013B5D" w:rsidRPr="00F445CD" w:rsidRDefault="00013B5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IC - размер инвестиций;</w:t>
      </w:r>
    </w:p>
    <w:p w:rsidR="00013B5D" w:rsidRPr="00F445CD" w:rsidRDefault="00013B5D" w:rsidP="0059114C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F445CD">
        <w:rPr>
          <w:rFonts w:ascii="Times New Roman" w:hAnsi="Times New Roman" w:cs="Times New Roman"/>
          <w:sz w:val="26"/>
          <w:szCs w:val="26"/>
        </w:rPr>
        <w:t>Pk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 xml:space="preserve"> – ежегодные чистые денежные поступления.</w:t>
      </w:r>
    </w:p>
    <w:p w:rsidR="00013B5D" w:rsidRDefault="00013B5D" w:rsidP="002D7511">
      <w:pPr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2) С учётом фактора времени – суммы дохода дисконтируются. Этот метод считается</w:t>
      </w:r>
      <w:r w:rsidR="002D7511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более</w:t>
      </w:r>
      <w:r w:rsidR="002D7511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точным</w:t>
      </w:r>
    </w:p>
    <w:p w:rsidR="00F445CD" w:rsidRPr="00F445CD" w:rsidRDefault="00F445CD" w:rsidP="002D7511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2D7511" w:rsidP="002D7511">
      <w:pPr>
        <w:jc w:val="right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∑</w:t>
      </w:r>
      <w:r w:rsidR="00013B5D" w:rsidRPr="00F445CD">
        <w:rPr>
          <w:rFonts w:ascii="Times New Roman" w:hAnsi="Times New Roman" w:cs="Times New Roman"/>
          <w:sz w:val="26"/>
          <w:szCs w:val="26"/>
        </w:rPr>
        <w:t>(</w:t>
      </w:r>
      <w:proofErr w:type="spellStart"/>
      <w:r w:rsidR="00013B5D" w:rsidRPr="00F445CD">
        <w:rPr>
          <w:rFonts w:ascii="Times New Roman" w:hAnsi="Times New Roman" w:cs="Times New Roman"/>
          <w:sz w:val="26"/>
          <w:szCs w:val="26"/>
        </w:rPr>
        <w:t>Pk</w:t>
      </w:r>
      <w:proofErr w:type="spellEnd"/>
      <w:r w:rsidR="00013B5D" w:rsidRPr="00F445CD">
        <w:rPr>
          <w:rFonts w:ascii="Times New Roman" w:hAnsi="Times New Roman" w:cs="Times New Roman"/>
          <w:sz w:val="26"/>
          <w:szCs w:val="26"/>
        </w:rPr>
        <w:t xml:space="preserve">/(1+r) </w:t>
      </w:r>
      <w:proofErr w:type="spellStart"/>
      <w:r w:rsidR="00013B5D" w:rsidRPr="00F445CD">
        <w:rPr>
          <w:rFonts w:ascii="Times New Roman" w:hAnsi="Times New Roman" w:cs="Times New Roman"/>
          <w:sz w:val="26"/>
          <w:szCs w:val="26"/>
          <w:vertAlign w:val="superscript"/>
        </w:rPr>
        <w:t>k</w:t>
      </w:r>
      <w:proofErr w:type="spellEnd"/>
      <w:proofErr w:type="gramStart"/>
      <w:r w:rsidR="00013B5D" w:rsidRPr="00F445CD">
        <w:rPr>
          <w:rFonts w:ascii="Times New Roman" w:hAnsi="Times New Roman" w:cs="Times New Roman"/>
          <w:sz w:val="26"/>
          <w:szCs w:val="26"/>
        </w:rPr>
        <w:t xml:space="preserve"> )</w:t>
      </w:r>
      <w:proofErr w:type="gramEnd"/>
      <w:r w:rsidR="00013B5D" w:rsidRPr="00F445CD">
        <w:rPr>
          <w:rFonts w:ascii="Times New Roman" w:hAnsi="Times New Roman" w:cs="Times New Roman"/>
          <w:sz w:val="26"/>
          <w:szCs w:val="26"/>
        </w:rPr>
        <w:t xml:space="preserve"> = </w:t>
      </w:r>
      <w:r w:rsidRPr="00F445CD">
        <w:rPr>
          <w:rFonts w:ascii="Times New Roman" w:hAnsi="Times New Roman" w:cs="Times New Roman"/>
          <w:sz w:val="26"/>
          <w:szCs w:val="26"/>
        </w:rPr>
        <w:t>∑</w:t>
      </w:r>
      <w:r w:rsidR="00013B5D" w:rsidRPr="00F445CD">
        <w:rPr>
          <w:rFonts w:ascii="Times New Roman" w:hAnsi="Times New Roman" w:cs="Times New Roman"/>
          <w:sz w:val="26"/>
          <w:szCs w:val="26"/>
        </w:rPr>
        <w:t xml:space="preserve"> IC </w:t>
      </w:r>
      <w:r w:rsidRPr="00F445CD">
        <w:rPr>
          <w:rFonts w:ascii="Times New Roman" w:hAnsi="Times New Roman" w:cs="Times New Roman"/>
          <w:sz w:val="26"/>
          <w:szCs w:val="26"/>
        </w:rPr>
        <w:t xml:space="preserve">                                              </w:t>
      </w:r>
      <w:r w:rsidR="00013B5D" w:rsidRPr="00F445CD">
        <w:rPr>
          <w:rFonts w:ascii="Times New Roman" w:hAnsi="Times New Roman" w:cs="Times New Roman"/>
          <w:sz w:val="26"/>
          <w:szCs w:val="26"/>
        </w:rPr>
        <w:t>(9)</w:t>
      </w:r>
    </w:p>
    <w:p w:rsidR="00F445CD" w:rsidRDefault="00F445CD" w:rsidP="002D7511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2D7511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Показатель срока окупаемости инвестиции очень прост в расчетах, вместе с тем он</w:t>
      </w:r>
      <w:r w:rsidR="002D7511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имеет ряд недостатков, которые необходимо учитывать в анализе.</w:t>
      </w:r>
    </w:p>
    <w:p w:rsidR="00013B5D" w:rsidRPr="00F445CD" w:rsidRDefault="00013B5D" w:rsidP="002D7511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Во-первых, он не учитывает влияние доходов последующих периодов.</w:t>
      </w:r>
    </w:p>
    <w:p w:rsidR="00013B5D" w:rsidRPr="00F445CD" w:rsidRDefault="00013B5D" w:rsidP="002D7511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Во-вторых, поскольку этот метод основан на не дисконтированных оценках, он не делает</w:t>
      </w:r>
      <w:r w:rsidR="002D7511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различия между проектами с одинаковой суммой кумулятивных доходов, но различным</w:t>
      </w:r>
      <w:r w:rsidR="002D7511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распределением ее по годам.</w:t>
      </w:r>
    </w:p>
    <w:p w:rsidR="00013B5D" w:rsidRPr="00F445CD" w:rsidRDefault="00013B5D" w:rsidP="002D7511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lastRenderedPageBreak/>
        <w:t xml:space="preserve">В-третьих, данный метод не обладает свойством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аддитивности</w:t>
      </w:r>
      <w:proofErr w:type="spellEnd"/>
      <w:r w:rsidRPr="00F445CD">
        <w:rPr>
          <w:rFonts w:ascii="Times New Roman" w:hAnsi="Times New Roman" w:cs="Times New Roman"/>
          <w:sz w:val="26"/>
          <w:szCs w:val="26"/>
        </w:rPr>
        <w:t>.</w:t>
      </w:r>
    </w:p>
    <w:p w:rsidR="00013B5D" w:rsidRPr="00F445CD" w:rsidRDefault="00013B5D" w:rsidP="002D7511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Существует ряд ситуаций, при которых применение метода, основанного на расчете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срока окупаемости затрат, может быть целесообразным. В частности, это ситуация, когда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руководство предприятия в большей степени озабочено решением проблемы ликвидности, а не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прибыльности проекта – главное, чтобы инвестиции окупились и как можно скорее. Метод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также хорош в ситуации, когда инвестиции сопряжены с высокой степенью риска, поэтому, чем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короче срок окупаемости, тем менее рискованным является проект. Такая ситуация характерна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для отраслей или видов деятельности, которым присуща большая вероятность достаточно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быстрых технологических изменений.</w:t>
      </w:r>
    </w:p>
    <w:p w:rsidR="00F445CD" w:rsidRDefault="00F445CD" w:rsidP="00873A66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873A66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6 Коэффициент эффективности инвестиции (ARR)</w:t>
      </w:r>
    </w:p>
    <w:p w:rsidR="00F445CD" w:rsidRDefault="00F445CD" w:rsidP="00873A66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873A66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Этот метод имеет две характерные черты: во-первых, он не предполагает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дисконтирования показателей дохода; во-вторых, доход характеризуется показателем чистой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прибыли PN (прибыль за минусом отчислений в бюджет).</w:t>
      </w:r>
    </w:p>
    <w:p w:rsidR="00013B5D" w:rsidRPr="00F445CD" w:rsidRDefault="00013B5D" w:rsidP="00873A66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Алгоритм расчета исключительно прост, что и предопределяет широкое использование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этого показателя на практике: коэффициент эффективности инвестиции, называемый также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учетной нормой прибыли (ARR), рассчитывается делением среднегодовой прибыли PN на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среднюю величину инвестиции (коэффициент берется в процентах). Средняя величина</w:t>
      </w:r>
    </w:p>
    <w:p w:rsidR="00013B5D" w:rsidRPr="00F445CD" w:rsidRDefault="00013B5D" w:rsidP="00873A66">
      <w:pPr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инвестиции находится делением исходной суммы капитальных вложений на два, если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предполагается, что по истечении срока реализации анализируемого проекта все капитальные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затраты будут списаны; если допускается наличие остаточной или ликвидационной стоимости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(RV), то ее оценка должна быть учтена в расчетах. Иными словами, существуют различные</w:t>
      </w:r>
      <w:r w:rsidR="00873A66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 xml:space="preserve">алгоритмы исчисления показателя ARR, достаточно распространенным является </w:t>
      </w:r>
      <w:proofErr w:type="gramStart"/>
      <w:r w:rsidRPr="00F445CD">
        <w:rPr>
          <w:rFonts w:ascii="Times New Roman" w:hAnsi="Times New Roman" w:cs="Times New Roman"/>
          <w:sz w:val="26"/>
          <w:szCs w:val="26"/>
        </w:rPr>
        <w:t>следующий</w:t>
      </w:r>
      <w:proofErr w:type="gramEnd"/>
      <w:r w:rsidRPr="00F445CD">
        <w:rPr>
          <w:rFonts w:ascii="Times New Roman" w:hAnsi="Times New Roman" w:cs="Times New Roman"/>
          <w:sz w:val="26"/>
          <w:szCs w:val="26"/>
        </w:rPr>
        <w:t>:</w:t>
      </w:r>
    </w:p>
    <w:p w:rsidR="00F445CD" w:rsidRDefault="00F445CD" w:rsidP="00F445CD">
      <w:pPr>
        <w:jc w:val="right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F445CD" w:rsidP="00F445CD">
      <w:pPr>
        <w:jc w:val="right"/>
        <w:rPr>
          <w:rFonts w:ascii="Times New Roman" w:hAnsi="Times New Roman" w:cs="Times New Roman"/>
          <w:sz w:val="26"/>
          <w:szCs w:val="26"/>
          <w:lang w:val="en-US"/>
        </w:rPr>
      </w:pPr>
      <w:r w:rsidRPr="00F445CD">
        <w:rPr>
          <w:rFonts w:ascii="Times New Roman" w:hAnsi="Times New Roman" w:cs="Times New Roman"/>
          <w:sz w:val="26"/>
          <w:szCs w:val="26"/>
          <w:lang w:val="en-US"/>
        </w:rPr>
        <w:t>ARR =PN</w:t>
      </w:r>
      <w:r w:rsidR="00013B5D"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/ ½ </w:t>
      </w:r>
      <w:proofErr w:type="spellStart"/>
      <w:r w:rsidRPr="00F445CD">
        <w:rPr>
          <w:rFonts w:ascii="Times New Roman" w:hAnsi="Times New Roman" w:cs="Times New Roman"/>
          <w:sz w:val="26"/>
          <w:szCs w:val="26"/>
        </w:rPr>
        <w:t>х</w:t>
      </w:r>
      <w:proofErr w:type="spellEnd"/>
      <w:r w:rsidRPr="00F445CD">
        <w:rPr>
          <w:rFonts w:ascii="Times New Roman" w:hAnsi="Times New Roman" w:cs="Times New Roman"/>
          <w:sz w:val="26"/>
          <w:szCs w:val="26"/>
          <w:lang w:val="en-US"/>
        </w:rPr>
        <w:t xml:space="preserve"> (IC +RV)                                                </w:t>
      </w:r>
      <w:r w:rsidR="00013B5D" w:rsidRPr="00F445CD">
        <w:rPr>
          <w:rFonts w:ascii="Times New Roman" w:hAnsi="Times New Roman" w:cs="Times New Roman"/>
          <w:sz w:val="26"/>
          <w:szCs w:val="26"/>
          <w:lang w:val="en-US"/>
        </w:rPr>
        <w:t>(10)</w:t>
      </w:r>
    </w:p>
    <w:p w:rsidR="00F445CD" w:rsidRDefault="00F445CD" w:rsidP="00F445C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013B5D" w:rsidRPr="00F445CD" w:rsidRDefault="00013B5D" w:rsidP="00F445C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Данный показатель чаще всего сравнивается с коэффициентом рентабельности</w:t>
      </w:r>
      <w:r w:rsidR="00F445CD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авансированного капитала, рассчитываемого делением общей чистой прибыли коммерческой</w:t>
      </w:r>
      <w:r w:rsidR="00F445CD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организации на общую сумму средств, авансированных в ее деятельность (итог среднего</w:t>
      </w:r>
      <w:r w:rsidR="00F445CD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баланса-нетто). В принципе возможно и установление специального порогового значения, с</w:t>
      </w:r>
      <w:r w:rsidR="00F445CD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которым будет сравниваться ARR, или даже их системы, дифференцированной по видам</w:t>
      </w:r>
      <w:r w:rsidR="00F445CD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проектов, степени риска, центрам ответственности и др.</w:t>
      </w:r>
    </w:p>
    <w:p w:rsidR="00013B5D" w:rsidRPr="00F445CD" w:rsidRDefault="00013B5D" w:rsidP="00F445C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F445CD">
        <w:rPr>
          <w:rFonts w:ascii="Times New Roman" w:hAnsi="Times New Roman" w:cs="Times New Roman"/>
          <w:sz w:val="26"/>
          <w:szCs w:val="26"/>
        </w:rPr>
        <w:t>Метод, основанный на коэффициенте эффективности инвестиции, также имеет ряд</w:t>
      </w:r>
      <w:r w:rsidR="00F445CD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существенных недостатков, обусловленных в основном тем, что он не учитывает временной</w:t>
      </w:r>
      <w:r w:rsidR="00F445CD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компоненты денежных потоков. В частности, метод не делает различия между проектами с</w:t>
      </w:r>
      <w:r w:rsidR="00F445CD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одинаковой суммой среднегодовой прибыли, но варьирующей суммой прибыли по годам, а</w:t>
      </w:r>
      <w:r w:rsidR="00F445CD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также между проектами, имеющими одинаковую среднегодовую прибыль, но генерируемую в</w:t>
      </w:r>
      <w:r w:rsidR="00F445CD" w:rsidRPr="00F445CD">
        <w:rPr>
          <w:rFonts w:ascii="Times New Roman" w:hAnsi="Times New Roman" w:cs="Times New Roman"/>
          <w:sz w:val="26"/>
          <w:szCs w:val="26"/>
        </w:rPr>
        <w:t xml:space="preserve"> </w:t>
      </w:r>
      <w:r w:rsidRPr="00F445CD">
        <w:rPr>
          <w:rFonts w:ascii="Times New Roman" w:hAnsi="Times New Roman" w:cs="Times New Roman"/>
          <w:sz w:val="26"/>
          <w:szCs w:val="26"/>
        </w:rPr>
        <w:t>течение различного количества лет, и т.п.</w:t>
      </w:r>
    </w:p>
    <w:sectPr w:rsidR="00013B5D" w:rsidRPr="00F445CD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13B5D"/>
    <w:rsid w:val="00013B5D"/>
    <w:rsid w:val="002D7511"/>
    <w:rsid w:val="00471582"/>
    <w:rsid w:val="005411B7"/>
    <w:rsid w:val="0059114C"/>
    <w:rsid w:val="005E2E2F"/>
    <w:rsid w:val="006D2265"/>
    <w:rsid w:val="00873A66"/>
    <w:rsid w:val="00892239"/>
    <w:rsid w:val="008F1D07"/>
    <w:rsid w:val="00BD1AB4"/>
    <w:rsid w:val="00C53B7F"/>
    <w:rsid w:val="00F44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5</Pages>
  <Words>1913</Words>
  <Characters>10908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2018-09-23T13:06:00Z</dcterms:created>
  <dcterms:modified xsi:type="dcterms:W3CDTF">2018-09-23T14:18:00Z</dcterms:modified>
</cp:coreProperties>
</file>